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Ind w:w="675" w:type="dxa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/>
      </w:tblPr>
      <w:tblGrid>
        <w:gridCol w:w="6112"/>
        <w:gridCol w:w="3557"/>
      </w:tblGrid>
      <w:tr w:rsidR="00607BC8" w:rsidRPr="00607BC8" w:rsidTr="00607BC8">
        <w:trPr>
          <w:jc w:val="center"/>
        </w:trPr>
        <w:tc>
          <w:tcPr>
            <w:tcW w:w="9669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Toc324691580"/>
            <w:bookmarkStart w:id="1" w:name="_Toc324961550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9B1E7B">
        <w:trPr>
          <w:jc w:val="center"/>
        </w:trPr>
        <w:tc>
          <w:tcPr>
            <w:tcW w:w="6112" w:type="dxa"/>
            <w:tcBorders>
              <w:bottom w:val="nil"/>
              <w:right w:val="nil"/>
            </w:tcBorders>
            <w:vAlign w:val="center"/>
          </w:tcPr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Totalmente constru</w:t>
            </w:r>
            <w:r w:rsidR="00B25A62">
              <w:rPr>
                <w:rFonts w:ascii="Century Gothic" w:hAnsi="Century Gothic" w:cs="Aharoni"/>
                <w:b/>
                <w:sz w:val="18"/>
                <w:szCs w:val="20"/>
              </w:rPr>
              <w:t>ídos em aço-inoxidável AISI 304</w:t>
            </w:r>
            <w:r w:rsidR="00F46AAD">
              <w:rPr>
                <w:rFonts w:ascii="Century Gothic" w:hAnsi="Century Gothic" w:cs="Aharoni"/>
                <w:b/>
                <w:sz w:val="18"/>
                <w:szCs w:val="20"/>
              </w:rPr>
              <w:t xml:space="preserve"> e/ou AISI 316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Isolamento térmico com 40mm de espessura obtido por compactação de grãos de cortiça queimada (3 a 15mm).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 água é aquecida por uma resistência elétrica, cujo funcionamento é acionado por um termóstato com limitador térmico de dupla segurança e sinalizado por piloto luminoso. 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3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mallCaps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Equipado com ânodo de magnésio anti-corrosão.</w:t>
            </w:r>
          </w:p>
        </w:tc>
        <w:tc>
          <w:tcPr>
            <w:tcW w:w="3557" w:type="dxa"/>
            <w:tcBorders>
              <w:left w:val="nil"/>
              <w:bottom w:val="nil"/>
            </w:tcBorders>
            <w:vAlign w:val="center"/>
          </w:tcPr>
          <w:p w:rsidR="0048709A" w:rsidRPr="0048709A" w:rsidRDefault="0048709A" w:rsidP="0048709A">
            <w:pPr>
              <w:spacing w:before="40" w:after="40" w:line="276" w:lineRule="auto"/>
              <w:jc w:val="right"/>
              <w:rPr>
                <w:rFonts w:ascii="Century Gothic" w:hAnsi="Century Gothic" w:cs="Aharoni"/>
                <w:b/>
                <w:smallCaps/>
                <w:szCs w:val="20"/>
              </w:rPr>
            </w:pPr>
            <w:r w:rsidRPr="0048709A">
              <w:rPr>
                <w:rFonts w:ascii="Century Gothic" w:hAnsi="Century Gothic" w:cs="Aharoni"/>
                <w:b/>
                <w:smallCaps/>
                <w:noProof/>
                <w:szCs w:val="20"/>
              </w:rPr>
              <w:drawing>
                <wp:inline distT="0" distB="0" distL="0" distR="0">
                  <wp:extent cx="1884045" cy="3219450"/>
                  <wp:effectExtent l="0" t="0" r="0" b="0"/>
                  <wp:docPr id="3" name="Imagem 1" descr="E:\Fotos(falta arrumar)\arrumadas\fotos term. elétr. JT VP HS.04.0075\DSC00784 foto capa do manu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os(falta arrumar)\arrumadas\fotos term. elétr. JT VP HS.04.0075\DSC00784 foto capa do manu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640" r="10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321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7B" w:rsidRPr="0048709A" w:rsidTr="009B1E7B">
        <w:trPr>
          <w:jc w:val="center"/>
        </w:trPr>
        <w:tc>
          <w:tcPr>
            <w:tcW w:w="9669" w:type="dxa"/>
            <w:gridSpan w:val="2"/>
            <w:tcBorders>
              <w:top w:val="nil"/>
              <w:bottom w:val="nil"/>
            </w:tcBorders>
          </w:tcPr>
          <w:p w:rsidR="009B1E7B" w:rsidRDefault="009B1E7B" w:rsidP="0048709A">
            <w:pPr>
              <w:spacing w:before="40" w:after="40" w:line="276" w:lineRule="auto"/>
              <w:jc w:val="right"/>
              <w:rPr>
                <w:rFonts w:ascii="Myriad Pro" w:hAnsi="Myriad Pro" w:cs="Arial"/>
                <w:i/>
                <w:noProof/>
                <w:szCs w:val="21"/>
              </w:rPr>
            </w:pPr>
          </w:p>
        </w:tc>
      </w:tr>
      <w:tr w:rsidR="009B1E7B" w:rsidRPr="0048709A" w:rsidTr="009B1E7B">
        <w:trPr>
          <w:jc w:val="center"/>
        </w:trPr>
        <w:tc>
          <w:tcPr>
            <w:tcW w:w="6112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9B1E7B" w:rsidRDefault="009B1E7B" w:rsidP="009B1E7B">
            <w:pPr>
              <w:spacing w:before="40" w:after="40"/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Myriad Pro" w:hAnsi="Myriad Pro" w:cs="Arial"/>
                <w:i/>
                <w:noProof/>
                <w:szCs w:val="21"/>
              </w:rPr>
              <w:drawing>
                <wp:inline distT="0" distB="0" distL="0" distR="0">
                  <wp:extent cx="3600450" cy="1466850"/>
                  <wp:effectExtent l="0" t="0" r="0" b="0"/>
                  <wp:docPr id="5" name="Imagem 2" descr="C:\Users\Utilizador\Dropbox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zador\Dropbox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7B" w:rsidRDefault="009B1E7B" w:rsidP="009B1E7B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</w:p>
          <w:p w:rsidR="009B1E7B" w:rsidRPr="009B1E7B" w:rsidRDefault="009B1E7B" w:rsidP="009B1E7B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</w:pPr>
            <w:r w:rsidRPr="009B1E7B"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  <w:t>Instalação Vertical Parede ou Horizontal</w:t>
            </w:r>
          </w:p>
          <w:p w:rsidR="009B1E7B" w:rsidRDefault="009B1E7B" w:rsidP="009B1E7B">
            <w:pPr>
              <w:spacing w:line="276" w:lineRule="auto"/>
              <w:ind w:left="285" w:hanging="285"/>
              <w:rPr>
                <w:rFonts w:ascii="Century Gothic" w:hAnsi="Century Gothic" w:cs="Arial"/>
                <w:b/>
                <w:sz w:val="18"/>
              </w:rPr>
            </w:pPr>
          </w:p>
          <w:p w:rsidR="009B1E7B" w:rsidRDefault="009B1E7B" w:rsidP="009B1E7B">
            <w:pPr>
              <w:spacing w:line="276" w:lineRule="auto"/>
              <w:ind w:left="285" w:hanging="285"/>
              <w:rPr>
                <w:rFonts w:ascii="Century Gothic" w:hAnsi="Century Gothic" w:cs="Arial"/>
                <w:b/>
                <w:sz w:val="18"/>
              </w:rPr>
            </w:pPr>
          </w:p>
          <w:p w:rsidR="009B1E7B" w:rsidRDefault="009B1E7B" w:rsidP="009B1E7B">
            <w:pPr>
              <w:spacing w:line="276" w:lineRule="auto"/>
              <w:ind w:left="285" w:hanging="285"/>
              <w:rPr>
                <w:rFonts w:ascii="Century Gothic" w:hAnsi="Century Gothic" w:cs="Arial"/>
                <w:b/>
                <w:sz w:val="18"/>
              </w:rPr>
            </w:pP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  <w:u w:val="single"/>
              </w:rPr>
            </w:pPr>
            <w:r w:rsidRPr="009B1E7B">
              <w:rPr>
                <w:rFonts w:ascii="Century Gothic" w:hAnsi="Century Gothic" w:cs="Arial"/>
                <w:b/>
                <w:sz w:val="18"/>
                <w:u w:val="single"/>
              </w:rPr>
              <w:t>Legenda: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A – Isolamento térmico de cortiça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B –</w:t>
            </w:r>
            <w:r>
              <w:rPr>
                <w:rFonts w:ascii="Century Gothic" w:hAnsi="Century Gothic" w:cs="Arial"/>
                <w:b/>
                <w:sz w:val="18"/>
              </w:rPr>
              <w:t xml:space="preserve"> 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Resistência/termóstato 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C – Entrada de água fria </w:t>
            </w:r>
            <w:r w:rsidRPr="009B1E7B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(Entrada AF)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D – Saída de água quente </w:t>
            </w:r>
            <w:r w:rsidRPr="009B1E7B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(Saída AQ)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H – Ânodo de magnésio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I – Termómetro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L – Comprimento da virola exterior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hV – Profundidade </w:t>
            </w:r>
          </w:p>
          <w:p w:rsidR="009B1E7B" w:rsidRPr="009B1E7B" w:rsidRDefault="009B1E7B" w:rsidP="009B1E7B">
            <w:pPr>
              <w:spacing w:after="60"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Ø – Diâmetro exterior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B1E7B" w:rsidRDefault="009B1E7B" w:rsidP="0048709A">
            <w:pPr>
              <w:spacing w:before="40" w:after="40" w:line="276" w:lineRule="auto"/>
              <w:jc w:val="right"/>
              <w:rPr>
                <w:rFonts w:ascii="Century Gothic" w:hAnsi="Century Gothic" w:cs="Aharoni"/>
                <w:b/>
                <w:smallCaps/>
                <w:noProof/>
                <w:szCs w:val="20"/>
              </w:rPr>
            </w:pPr>
            <w:r>
              <w:rPr>
                <w:rFonts w:ascii="Myriad Pro" w:hAnsi="Myriad Pro" w:cs="Arial"/>
                <w:i/>
                <w:noProof/>
                <w:szCs w:val="21"/>
              </w:rPr>
              <w:drawing>
                <wp:inline distT="0" distB="0" distL="0" distR="0">
                  <wp:extent cx="1733550" cy="3048000"/>
                  <wp:effectExtent l="0" t="0" r="0" b="0"/>
                  <wp:docPr id="6" name="Imagem 2" descr="C:\Users\Utilizador\Desktop\desenhos novo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zador\Desktop\desenhos novo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7B" w:rsidRDefault="009B1E7B" w:rsidP="009B1E7B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noProof/>
                <w:color w:val="7F7F7F" w:themeColor="text1" w:themeTint="80"/>
                <w:sz w:val="18"/>
                <w:szCs w:val="20"/>
              </w:rPr>
            </w:pPr>
          </w:p>
          <w:p w:rsidR="009B1E7B" w:rsidRPr="009B1E7B" w:rsidRDefault="009B1E7B" w:rsidP="009B1E7B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noProof/>
                <w:color w:val="595959" w:themeColor="text1" w:themeTint="A6"/>
                <w:szCs w:val="20"/>
              </w:rPr>
            </w:pPr>
            <w:r w:rsidRPr="009B1E7B">
              <w:rPr>
                <w:rFonts w:ascii="Century Gothic" w:hAnsi="Century Gothic" w:cs="Aharoni"/>
                <w:b/>
                <w:noProof/>
                <w:color w:val="595959" w:themeColor="text1" w:themeTint="A6"/>
                <w:sz w:val="18"/>
                <w:szCs w:val="20"/>
              </w:rPr>
              <w:t>Instalação Vertical Solo</w:t>
            </w:r>
          </w:p>
        </w:tc>
      </w:tr>
      <w:tr w:rsidR="009B1E7B" w:rsidRPr="0048709A" w:rsidTr="009B1E7B">
        <w:trPr>
          <w:jc w:val="center"/>
        </w:trPr>
        <w:tc>
          <w:tcPr>
            <w:tcW w:w="9669" w:type="dxa"/>
            <w:gridSpan w:val="2"/>
            <w:tcBorders>
              <w:left w:val="nil"/>
              <w:bottom w:val="nil"/>
              <w:right w:val="nil"/>
            </w:tcBorders>
          </w:tcPr>
          <w:p w:rsidR="009B1E7B" w:rsidRPr="009B1E7B" w:rsidRDefault="009B1E7B" w:rsidP="009B1E7B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Esquematização dos termoacumuladores elétricos Jotainox.</w:t>
            </w:r>
          </w:p>
        </w:tc>
      </w:tr>
      <w:bookmarkEnd w:id="0"/>
      <w:bookmarkEnd w:id="1"/>
    </w:tbl>
    <w:p w:rsidR="0048709A" w:rsidRDefault="0048709A" w:rsidP="0048709A">
      <w:pPr>
        <w:jc w:val="both"/>
        <w:rPr>
          <w:rFonts w:ascii="Myriad Pro" w:hAnsi="Myriad Pro" w:cs="Arial"/>
          <w:szCs w:val="20"/>
        </w:rPr>
      </w:pPr>
    </w:p>
    <w:tbl>
      <w:tblPr>
        <w:tblStyle w:val="Tabelacomgrelha"/>
        <w:tblW w:w="0" w:type="auto"/>
        <w:jc w:val="center"/>
        <w:tblInd w:w="675" w:type="dxa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/>
      </w:tblPr>
      <w:tblGrid>
        <w:gridCol w:w="3435"/>
        <w:gridCol w:w="1558"/>
        <w:gridCol w:w="1559"/>
        <w:gridCol w:w="1558"/>
        <w:gridCol w:w="1559"/>
      </w:tblGrid>
      <w:tr w:rsidR="008C1371" w:rsidRPr="008C1371" w:rsidTr="008C1371">
        <w:trPr>
          <w:jc w:val="center"/>
        </w:trPr>
        <w:tc>
          <w:tcPr>
            <w:tcW w:w="9669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lastRenderedPageBreak/>
              <w:t>Características Gerais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Capacidade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75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  <w:tc>
          <w:tcPr>
            <w:tcW w:w="15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200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Medidas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470 x 780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470 x 1020</w:t>
            </w:r>
          </w:p>
        </w:tc>
        <w:tc>
          <w:tcPr>
            <w:tcW w:w="15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470 x 1370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Pr="00CE1166" w:rsidRDefault="00CE1166" w:rsidP="00004E7A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</w:t>
            </w:r>
            <w:r w:rsidR="00004E7A"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  <w:bookmarkStart w:id="2" w:name="_GoBack"/>
            <w:bookmarkEnd w:id="2"/>
            <w:r w:rsidR="00004E7A">
              <w:rPr>
                <w:rFonts w:ascii="Century Gothic" w:hAnsi="Century Gothic" w:cs="Aharoni"/>
                <w:b/>
                <w:sz w:val="18"/>
                <w:szCs w:val="18"/>
              </w:rPr>
              <w:t>50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x 1400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Profundidade hV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500</w:t>
            </w:r>
          </w:p>
        </w:tc>
        <w:tc>
          <w:tcPr>
            <w:tcW w:w="15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580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Peso depósito vazio (kg)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27 (± 0,5)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30 (± 0,5)</w:t>
            </w:r>
          </w:p>
        </w:tc>
        <w:tc>
          <w:tcPr>
            <w:tcW w:w="15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45 (± 0,5)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60 (± 0,5)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Peso depósito cheio (kg)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102 (± 0,5)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130 (± 0,5)</w:t>
            </w:r>
          </w:p>
        </w:tc>
        <w:tc>
          <w:tcPr>
            <w:tcW w:w="15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195 (± 0,5)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260 (± 0,5)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Ânodo magnésio (mm)</w:t>
            </w:r>
          </w:p>
        </w:tc>
        <w:tc>
          <w:tcPr>
            <w:tcW w:w="311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17 x 100</w:t>
            </w:r>
          </w:p>
        </w:tc>
        <w:tc>
          <w:tcPr>
            <w:tcW w:w="3117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22 x 300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Isolamento (mm)</w:t>
            </w:r>
          </w:p>
        </w:tc>
        <w:tc>
          <w:tcPr>
            <w:tcW w:w="6234" w:type="dxa"/>
            <w:gridSpan w:val="4"/>
            <w:tcBorders>
              <w:bottom w:val="nil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40</w:t>
            </w:r>
          </w:p>
        </w:tc>
      </w:tr>
      <w:tr w:rsidR="008C1371" w:rsidRPr="008C1371" w:rsidTr="008C1371">
        <w:trPr>
          <w:jc w:val="center"/>
        </w:trPr>
        <w:tc>
          <w:tcPr>
            <w:tcW w:w="9669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referentes à água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saída (ºC)</w:t>
            </w:r>
          </w:p>
        </w:tc>
        <w:tc>
          <w:tcPr>
            <w:tcW w:w="6234" w:type="dxa"/>
            <w:gridSpan w:val="4"/>
            <w:tcBorders>
              <w:bottom w:val="nil"/>
            </w:tcBorders>
            <w:vAlign w:val="center"/>
          </w:tcPr>
          <w:p w:rsidR="00CE1166" w:rsidRDefault="00607BC8" w:rsidP="00607BC8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65 (± 2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>)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Ligação de água (pol)</w:t>
            </w:r>
          </w:p>
        </w:tc>
        <w:tc>
          <w:tcPr>
            <w:tcW w:w="6234" w:type="dxa"/>
            <w:gridSpan w:val="4"/>
            <w:tcBorders>
              <w:bottom w:val="nil"/>
            </w:tcBorders>
            <w:vAlign w:val="center"/>
          </w:tcPr>
          <w:p w:rsid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¾’’</w:t>
            </w:r>
          </w:p>
        </w:tc>
      </w:tr>
      <w:tr w:rsidR="00CE1166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(MPa)</w:t>
            </w:r>
          </w:p>
        </w:tc>
        <w:tc>
          <w:tcPr>
            <w:tcW w:w="6234" w:type="dxa"/>
            <w:gridSpan w:val="4"/>
            <w:tcBorders>
              <w:bottom w:val="nil"/>
            </w:tcBorders>
            <w:vAlign w:val="center"/>
          </w:tcPr>
          <w:p w:rsid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0,6</w:t>
            </w:r>
          </w:p>
        </w:tc>
      </w:tr>
      <w:tr w:rsidR="008C1371" w:rsidRPr="008C1371" w:rsidTr="008C1371">
        <w:trPr>
          <w:jc w:val="center"/>
        </w:trPr>
        <w:tc>
          <w:tcPr>
            <w:tcW w:w="9669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607BC8" w:rsidRPr="008C1371" w:rsidRDefault="00607BC8" w:rsidP="00607BC8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elétricos</w:t>
            </w:r>
          </w:p>
        </w:tc>
      </w:tr>
      <w:tr w:rsidR="00607BC8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7BC8" w:rsidRPr="00CE1166" w:rsidRDefault="00607BC8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Capacidade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7BC8" w:rsidRP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7BC8" w:rsidRP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1600</w:t>
            </w:r>
          </w:p>
        </w:tc>
        <w:tc>
          <w:tcPr>
            <w:tcW w:w="15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7BC8" w:rsidRP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07BC8" w:rsidRPr="00CE1166" w:rsidRDefault="00607BC8" w:rsidP="00F46AAD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  <w:r w:rsidR="00F46AAD"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00</w:t>
            </w:r>
          </w:p>
        </w:tc>
      </w:tr>
      <w:tr w:rsidR="00607BC8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7BC8" w:rsidRDefault="00607BC8" w:rsidP="00607BC8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Tensão Elétrica (V~Hz)</w:t>
            </w:r>
          </w:p>
        </w:tc>
        <w:tc>
          <w:tcPr>
            <w:tcW w:w="6234" w:type="dxa"/>
            <w:gridSpan w:val="4"/>
            <w:tcBorders>
              <w:bottom w:val="nil"/>
            </w:tcBorders>
            <w:vAlign w:val="center"/>
          </w:tcPr>
          <w:p w:rsidR="00607BC8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230~50</w:t>
            </w:r>
          </w:p>
        </w:tc>
      </w:tr>
      <w:tr w:rsidR="00607BC8" w:rsidRPr="00CE1166" w:rsidTr="008C1371">
        <w:trPr>
          <w:trHeight w:val="510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7BC8" w:rsidRDefault="00607BC8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Índice de Proteção</w:t>
            </w:r>
          </w:p>
        </w:tc>
        <w:tc>
          <w:tcPr>
            <w:tcW w:w="6234" w:type="dxa"/>
            <w:gridSpan w:val="4"/>
            <w:tcBorders>
              <w:bottom w:val="nil"/>
            </w:tcBorders>
            <w:vAlign w:val="center"/>
          </w:tcPr>
          <w:p w:rsidR="00607BC8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IPX1</w:t>
            </w:r>
          </w:p>
        </w:tc>
      </w:tr>
      <w:tr w:rsidR="00607BC8" w:rsidRPr="0048709A" w:rsidTr="00607BC8">
        <w:trPr>
          <w:trHeight w:val="850"/>
          <w:jc w:val="center"/>
        </w:trPr>
        <w:tc>
          <w:tcPr>
            <w:tcW w:w="9669" w:type="dxa"/>
            <w:gridSpan w:val="5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607BC8" w:rsidRPr="009B1E7B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Características técnicas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termoacumuladores elétricos Jotainox.</w:t>
            </w:r>
          </w:p>
        </w:tc>
      </w:tr>
      <w:tr w:rsidR="00CE1166" w:rsidRPr="00CE1166" w:rsidTr="008C1371">
        <w:trPr>
          <w:trHeight w:val="1984"/>
          <w:jc w:val="center"/>
        </w:trPr>
        <w:tc>
          <w:tcPr>
            <w:tcW w:w="9669" w:type="dxa"/>
            <w:gridSpan w:val="5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607BC8" w:rsidRDefault="00607BC8" w:rsidP="00607BC8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E712DE">
              <w:rPr>
                <w:rFonts w:ascii="Myriad Pro" w:hAnsi="Myriad Pro" w:cs="Arial"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5403215</wp:posOffset>
                  </wp:positionH>
                  <wp:positionV relativeFrom="paragraph">
                    <wp:posOffset>67945</wp:posOffset>
                  </wp:positionV>
                  <wp:extent cx="463550" cy="370840"/>
                  <wp:effectExtent l="0" t="0" r="0" b="0"/>
                  <wp:wrapSquare wrapText="bothSides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Os nossos termoacumuladores elétricos cumprem os requisitos da legislação em vigor e estão em conformidade com as Diretivas Europeias aplicáveis </w:t>
            </w:r>
            <w:r w:rsidR="00A73026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–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Diretiva de Baixa Tensão 2006/95/CE, Diretiva Compatibilidade Eletromagnética 2004/108/CE e Diretiva Equipamentos Sob Pressão 97/23/CE.</w:t>
            </w:r>
            <w:r w:rsidRPr="00E712DE">
              <w:rPr>
                <w:rFonts w:ascii="Myriad Pro" w:hAnsi="Myriad Pro" w:cs="Arial"/>
                <w:noProof/>
                <w:szCs w:val="20"/>
              </w:rPr>
              <w:t xml:space="preserve"> </w:t>
            </w:r>
          </w:p>
          <w:p w:rsidR="00607BC8" w:rsidRDefault="00607BC8" w:rsidP="00607BC8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</w:p>
          <w:p w:rsidR="00607BC8" w:rsidRPr="00607BC8" w:rsidRDefault="00607BC8" w:rsidP="00607BC8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607BC8" w:rsidRPr="00607BC8" w:rsidTr="008C1371">
        <w:trPr>
          <w:trHeight w:val="850"/>
          <w:jc w:val="center"/>
        </w:trPr>
        <w:tc>
          <w:tcPr>
            <w:tcW w:w="9669" w:type="dxa"/>
            <w:gridSpan w:val="5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607BC8" w:rsidRPr="00607BC8" w:rsidRDefault="00607BC8" w:rsidP="00607BC8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2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</w:tbl>
    <w:p w:rsidR="009B1E7B" w:rsidRDefault="009B1E7B" w:rsidP="0048709A">
      <w:pPr>
        <w:jc w:val="both"/>
        <w:rPr>
          <w:rFonts w:ascii="Myriad Pro" w:hAnsi="Myriad Pro" w:cs="Arial"/>
          <w:szCs w:val="20"/>
        </w:rPr>
      </w:pPr>
    </w:p>
    <w:p w:rsidR="0048709A" w:rsidRPr="00D20299" w:rsidRDefault="0048709A" w:rsidP="0048709A">
      <w:pPr>
        <w:spacing w:before="120"/>
        <w:jc w:val="right"/>
        <w:rPr>
          <w:rFonts w:ascii="Myriad Pro" w:hAnsi="Myriad Pro" w:cs="Arial"/>
          <w:color w:val="595959" w:themeColor="text1" w:themeTint="A6"/>
          <w:sz w:val="18"/>
          <w:szCs w:val="20"/>
        </w:rPr>
      </w:pPr>
      <w:r w:rsidRPr="00093822">
        <w:rPr>
          <w:rFonts w:ascii="Myriad Pro" w:hAnsi="Myriad Pro" w:cs="Arial"/>
          <w:color w:val="595959" w:themeColor="text1" w:themeTint="A6"/>
          <w:sz w:val="18"/>
          <w:szCs w:val="20"/>
        </w:rPr>
        <w:t xml:space="preserve"> </w:t>
      </w:r>
    </w:p>
    <w:sectPr w:rsidR="0048709A" w:rsidRPr="00D20299" w:rsidSect="0048709A">
      <w:headerReference w:type="default" r:id="rId13"/>
      <w:footerReference w:type="default" r:id="rId14"/>
      <w:pgSz w:w="11906" w:h="16838"/>
      <w:pgMar w:top="2552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0C" w:rsidRDefault="00FD7F0C" w:rsidP="00DE6752">
      <w:r>
        <w:separator/>
      </w:r>
    </w:p>
  </w:endnote>
  <w:endnote w:type="continuationSeparator" w:id="0">
    <w:p w:rsidR="00FD7F0C" w:rsidRDefault="00FD7F0C" w:rsidP="00DE6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10349" w:type="dxa"/>
      <w:jc w:val="center"/>
      <w:tblInd w:w="-318" w:type="dxa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90"/>
      <w:gridCol w:w="1701"/>
      <w:gridCol w:w="2693"/>
      <w:gridCol w:w="2694"/>
      <w:gridCol w:w="1771"/>
    </w:tblGrid>
    <w:tr w:rsidR="00331717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331717" w:rsidRPr="00331717" w:rsidRDefault="00E169CF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</w:t>
          </w:r>
          <w:r w:rsidR="008D1FC3">
            <w:rPr>
              <w:rFonts w:ascii="Century Gothic" w:hAnsi="Century Gothic"/>
              <w:color w:val="404040"/>
              <w:sz w:val="16"/>
              <w:szCs w:val="16"/>
            </w:rPr>
            <w:t xml:space="preserve"> 12</w:t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>.0</w:t>
          </w:r>
          <w:r w:rsidR="008C1371">
            <w:rPr>
              <w:rFonts w:ascii="Century Gothic" w:hAnsi="Century Gothic"/>
              <w:color w:val="404040"/>
              <w:sz w:val="16"/>
              <w:szCs w:val="16"/>
            </w:rPr>
            <w:t>4v03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331717" w:rsidRPr="00331717" w:rsidRDefault="00E81C82" w:rsidP="00EB12E2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C67AA2">
            <w:rPr>
              <w:rFonts w:ascii="Century Gothic" w:hAnsi="Century Gothic"/>
              <w:noProof/>
              <w:color w:val="404040"/>
              <w:sz w:val="16"/>
              <w:szCs w:val="16"/>
            </w:rPr>
            <w:t>1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C67AA2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331717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384A53" w:rsidRPr="00331717" w:rsidRDefault="00384A53" w:rsidP="00B47044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0C" w:rsidRDefault="00FD7F0C" w:rsidP="00DE6752">
      <w:r>
        <w:separator/>
      </w:r>
    </w:p>
  </w:footnote>
  <w:footnote w:type="continuationSeparator" w:id="0">
    <w:p w:rsidR="00FD7F0C" w:rsidRDefault="00FD7F0C" w:rsidP="00DE6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051"/>
      <w:gridCol w:w="6783"/>
    </w:tblGrid>
    <w:tr w:rsidR="0048709A" w:rsidRPr="00DE4E08" w:rsidTr="0048709A">
      <w:trPr>
        <w:trHeight w:val="1410"/>
        <w:jc w:val="center"/>
      </w:trPr>
      <w:tc>
        <w:tcPr>
          <w:tcW w:w="2995" w:type="dxa"/>
          <w:shd w:val="clear" w:color="auto" w:fill="auto"/>
          <w:vAlign w:val="center"/>
        </w:tcPr>
        <w:p w:rsidR="0048709A" w:rsidRPr="00703157" w:rsidRDefault="0048709A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shd w:val="clear" w:color="auto" w:fill="auto"/>
          <w:vAlign w:val="center"/>
        </w:tcPr>
        <w:p w:rsidR="0048709A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48709A" w:rsidRPr="00703157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>Termoacumuladores Elétricos</w:t>
          </w:r>
        </w:p>
      </w:tc>
    </w:tr>
  </w:tbl>
  <w:p w:rsidR="00DE6752" w:rsidRDefault="00DE6752" w:rsidP="00B470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ckC8iqg7NzWhyERaxGWgQJJMgIM=" w:salt="xuzwQHeVCfWw+qWu63IKb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751B7"/>
    <w:rsid w:val="00004E7A"/>
    <w:rsid w:val="0002114D"/>
    <w:rsid w:val="000306D7"/>
    <w:rsid w:val="00034A6B"/>
    <w:rsid w:val="00036499"/>
    <w:rsid w:val="0005494B"/>
    <w:rsid w:val="0005514C"/>
    <w:rsid w:val="00070452"/>
    <w:rsid w:val="000707B5"/>
    <w:rsid w:val="00077CCB"/>
    <w:rsid w:val="000877CC"/>
    <w:rsid w:val="000944B3"/>
    <w:rsid w:val="000B1EB3"/>
    <w:rsid w:val="000D59F7"/>
    <w:rsid w:val="000E3349"/>
    <w:rsid w:val="000E576D"/>
    <w:rsid w:val="000F2F04"/>
    <w:rsid w:val="000F5995"/>
    <w:rsid w:val="00100C7F"/>
    <w:rsid w:val="001018BF"/>
    <w:rsid w:val="0010259D"/>
    <w:rsid w:val="00103DAB"/>
    <w:rsid w:val="0010668C"/>
    <w:rsid w:val="00116DC5"/>
    <w:rsid w:val="001174FE"/>
    <w:rsid w:val="0012450E"/>
    <w:rsid w:val="00135864"/>
    <w:rsid w:val="00137716"/>
    <w:rsid w:val="00140C2D"/>
    <w:rsid w:val="00142121"/>
    <w:rsid w:val="00152E7E"/>
    <w:rsid w:val="00153A55"/>
    <w:rsid w:val="00155C4C"/>
    <w:rsid w:val="00156745"/>
    <w:rsid w:val="00191CFD"/>
    <w:rsid w:val="001932B9"/>
    <w:rsid w:val="001B6395"/>
    <w:rsid w:val="001C0DC8"/>
    <w:rsid w:val="001D0849"/>
    <w:rsid w:val="001D4262"/>
    <w:rsid w:val="001D72B9"/>
    <w:rsid w:val="001E1514"/>
    <w:rsid w:val="001E529B"/>
    <w:rsid w:val="001F1112"/>
    <w:rsid w:val="00200D43"/>
    <w:rsid w:val="00222846"/>
    <w:rsid w:val="0022549D"/>
    <w:rsid w:val="00225572"/>
    <w:rsid w:val="00226CC3"/>
    <w:rsid w:val="00241F7A"/>
    <w:rsid w:val="0024533E"/>
    <w:rsid w:val="00252064"/>
    <w:rsid w:val="002600E0"/>
    <w:rsid w:val="00283490"/>
    <w:rsid w:val="002A0DBA"/>
    <w:rsid w:val="002A12A0"/>
    <w:rsid w:val="002A44E4"/>
    <w:rsid w:val="002C2BBB"/>
    <w:rsid w:val="002C4096"/>
    <w:rsid w:val="002C66C9"/>
    <w:rsid w:val="002D219C"/>
    <w:rsid w:val="002E02D6"/>
    <w:rsid w:val="002F1764"/>
    <w:rsid w:val="00314A00"/>
    <w:rsid w:val="003152C5"/>
    <w:rsid w:val="00320751"/>
    <w:rsid w:val="00331717"/>
    <w:rsid w:val="00333B8B"/>
    <w:rsid w:val="003443D1"/>
    <w:rsid w:val="0034624C"/>
    <w:rsid w:val="00351E7A"/>
    <w:rsid w:val="0036670F"/>
    <w:rsid w:val="00372434"/>
    <w:rsid w:val="00380F35"/>
    <w:rsid w:val="00384A53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F69FD"/>
    <w:rsid w:val="003F75BD"/>
    <w:rsid w:val="004003AD"/>
    <w:rsid w:val="00400FEC"/>
    <w:rsid w:val="00423FA4"/>
    <w:rsid w:val="0042420D"/>
    <w:rsid w:val="004307BE"/>
    <w:rsid w:val="0043129A"/>
    <w:rsid w:val="004445B1"/>
    <w:rsid w:val="00450425"/>
    <w:rsid w:val="004551FA"/>
    <w:rsid w:val="004756EE"/>
    <w:rsid w:val="0048448A"/>
    <w:rsid w:val="00485B08"/>
    <w:rsid w:val="0048709A"/>
    <w:rsid w:val="00487FBF"/>
    <w:rsid w:val="004914C9"/>
    <w:rsid w:val="00494182"/>
    <w:rsid w:val="004952CA"/>
    <w:rsid w:val="004A0038"/>
    <w:rsid w:val="004C17B1"/>
    <w:rsid w:val="004D4EFB"/>
    <w:rsid w:val="004E076C"/>
    <w:rsid w:val="004E2C73"/>
    <w:rsid w:val="004F54D5"/>
    <w:rsid w:val="00523A28"/>
    <w:rsid w:val="00526F0A"/>
    <w:rsid w:val="0054119E"/>
    <w:rsid w:val="0055462E"/>
    <w:rsid w:val="005823CC"/>
    <w:rsid w:val="00590F16"/>
    <w:rsid w:val="00592649"/>
    <w:rsid w:val="005B38DA"/>
    <w:rsid w:val="005B391E"/>
    <w:rsid w:val="005B4CA4"/>
    <w:rsid w:val="005B67BB"/>
    <w:rsid w:val="005B7927"/>
    <w:rsid w:val="005C55BA"/>
    <w:rsid w:val="005C7C92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FD0"/>
    <w:rsid w:val="00627F8B"/>
    <w:rsid w:val="006308A5"/>
    <w:rsid w:val="00640B21"/>
    <w:rsid w:val="006423F0"/>
    <w:rsid w:val="00645DEB"/>
    <w:rsid w:val="00661791"/>
    <w:rsid w:val="00670DF4"/>
    <w:rsid w:val="006759C4"/>
    <w:rsid w:val="0067737C"/>
    <w:rsid w:val="006847F5"/>
    <w:rsid w:val="00696BC2"/>
    <w:rsid w:val="006B53D0"/>
    <w:rsid w:val="006C3D62"/>
    <w:rsid w:val="006C5EB3"/>
    <w:rsid w:val="006E37BE"/>
    <w:rsid w:val="006E4BD7"/>
    <w:rsid w:val="006F2001"/>
    <w:rsid w:val="00703157"/>
    <w:rsid w:val="00704B40"/>
    <w:rsid w:val="00720F62"/>
    <w:rsid w:val="007340EC"/>
    <w:rsid w:val="00747993"/>
    <w:rsid w:val="00755F0C"/>
    <w:rsid w:val="00772B90"/>
    <w:rsid w:val="007730CB"/>
    <w:rsid w:val="00774BD2"/>
    <w:rsid w:val="0077762C"/>
    <w:rsid w:val="00777943"/>
    <w:rsid w:val="007A15B9"/>
    <w:rsid w:val="007A173F"/>
    <w:rsid w:val="007A3E80"/>
    <w:rsid w:val="007A55FC"/>
    <w:rsid w:val="007A7E0B"/>
    <w:rsid w:val="007B4B7B"/>
    <w:rsid w:val="007E60A8"/>
    <w:rsid w:val="007F586F"/>
    <w:rsid w:val="00814C1C"/>
    <w:rsid w:val="0081622D"/>
    <w:rsid w:val="0082375E"/>
    <w:rsid w:val="008275C2"/>
    <w:rsid w:val="00833D80"/>
    <w:rsid w:val="008351E7"/>
    <w:rsid w:val="00835BEF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917E6"/>
    <w:rsid w:val="008A03A7"/>
    <w:rsid w:val="008A2830"/>
    <w:rsid w:val="008A4427"/>
    <w:rsid w:val="008A5927"/>
    <w:rsid w:val="008A6512"/>
    <w:rsid w:val="008C1371"/>
    <w:rsid w:val="008C3557"/>
    <w:rsid w:val="008D1FC3"/>
    <w:rsid w:val="008E6250"/>
    <w:rsid w:val="00903262"/>
    <w:rsid w:val="00911D93"/>
    <w:rsid w:val="0092623E"/>
    <w:rsid w:val="00933345"/>
    <w:rsid w:val="00935C89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626A"/>
    <w:rsid w:val="00986F04"/>
    <w:rsid w:val="00993BEA"/>
    <w:rsid w:val="009948FE"/>
    <w:rsid w:val="009A1A35"/>
    <w:rsid w:val="009B0B1C"/>
    <w:rsid w:val="009B1152"/>
    <w:rsid w:val="009B1E7B"/>
    <w:rsid w:val="009B7A3A"/>
    <w:rsid w:val="009C0D6A"/>
    <w:rsid w:val="009C1294"/>
    <w:rsid w:val="009D793B"/>
    <w:rsid w:val="009F7300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701D5"/>
    <w:rsid w:val="00A73026"/>
    <w:rsid w:val="00A74E99"/>
    <w:rsid w:val="00A752E5"/>
    <w:rsid w:val="00A8021D"/>
    <w:rsid w:val="00A84891"/>
    <w:rsid w:val="00A84C5A"/>
    <w:rsid w:val="00A954B0"/>
    <w:rsid w:val="00AA75BC"/>
    <w:rsid w:val="00AC44BE"/>
    <w:rsid w:val="00AC5FD0"/>
    <w:rsid w:val="00AF3642"/>
    <w:rsid w:val="00B072FF"/>
    <w:rsid w:val="00B17164"/>
    <w:rsid w:val="00B25A62"/>
    <w:rsid w:val="00B27038"/>
    <w:rsid w:val="00B34AC5"/>
    <w:rsid w:val="00B410D5"/>
    <w:rsid w:val="00B41EDB"/>
    <w:rsid w:val="00B42472"/>
    <w:rsid w:val="00B46AC8"/>
    <w:rsid w:val="00B47044"/>
    <w:rsid w:val="00B5299A"/>
    <w:rsid w:val="00B60300"/>
    <w:rsid w:val="00B6345A"/>
    <w:rsid w:val="00B76140"/>
    <w:rsid w:val="00B76E2A"/>
    <w:rsid w:val="00B87D9C"/>
    <w:rsid w:val="00B94E73"/>
    <w:rsid w:val="00BA36E7"/>
    <w:rsid w:val="00BA755D"/>
    <w:rsid w:val="00BB57BD"/>
    <w:rsid w:val="00BB633F"/>
    <w:rsid w:val="00BC64DC"/>
    <w:rsid w:val="00BD4CC7"/>
    <w:rsid w:val="00BD65C5"/>
    <w:rsid w:val="00BD7D3A"/>
    <w:rsid w:val="00BE33FC"/>
    <w:rsid w:val="00BF0D13"/>
    <w:rsid w:val="00BF0E73"/>
    <w:rsid w:val="00C004AF"/>
    <w:rsid w:val="00C14CC9"/>
    <w:rsid w:val="00C14F05"/>
    <w:rsid w:val="00C216FE"/>
    <w:rsid w:val="00C21B9E"/>
    <w:rsid w:val="00C27A54"/>
    <w:rsid w:val="00C36425"/>
    <w:rsid w:val="00C37FF5"/>
    <w:rsid w:val="00C51E93"/>
    <w:rsid w:val="00C52A3E"/>
    <w:rsid w:val="00C63A89"/>
    <w:rsid w:val="00C63EA1"/>
    <w:rsid w:val="00C65160"/>
    <w:rsid w:val="00C67AA2"/>
    <w:rsid w:val="00C738A2"/>
    <w:rsid w:val="00C76A90"/>
    <w:rsid w:val="00C91FB5"/>
    <w:rsid w:val="00C96B01"/>
    <w:rsid w:val="00CA6EA0"/>
    <w:rsid w:val="00CB46B7"/>
    <w:rsid w:val="00CC62B2"/>
    <w:rsid w:val="00CD435A"/>
    <w:rsid w:val="00CE1166"/>
    <w:rsid w:val="00CF34BB"/>
    <w:rsid w:val="00D00288"/>
    <w:rsid w:val="00D07E3A"/>
    <w:rsid w:val="00D100F0"/>
    <w:rsid w:val="00D1604A"/>
    <w:rsid w:val="00D24C2B"/>
    <w:rsid w:val="00D301AC"/>
    <w:rsid w:val="00D3265D"/>
    <w:rsid w:val="00D41C72"/>
    <w:rsid w:val="00D476B4"/>
    <w:rsid w:val="00D502BD"/>
    <w:rsid w:val="00D60F5D"/>
    <w:rsid w:val="00D630FF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B34"/>
    <w:rsid w:val="00DD69FD"/>
    <w:rsid w:val="00DE6752"/>
    <w:rsid w:val="00DF2493"/>
    <w:rsid w:val="00E07C0C"/>
    <w:rsid w:val="00E15406"/>
    <w:rsid w:val="00E169CF"/>
    <w:rsid w:val="00E214CF"/>
    <w:rsid w:val="00E27E87"/>
    <w:rsid w:val="00E34018"/>
    <w:rsid w:val="00E4285B"/>
    <w:rsid w:val="00E47C92"/>
    <w:rsid w:val="00E51FD2"/>
    <w:rsid w:val="00E54D6B"/>
    <w:rsid w:val="00E57D7C"/>
    <w:rsid w:val="00E6254C"/>
    <w:rsid w:val="00E72C86"/>
    <w:rsid w:val="00E81AE9"/>
    <w:rsid w:val="00E81C82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B66"/>
    <w:rsid w:val="00EC7890"/>
    <w:rsid w:val="00ED41B5"/>
    <w:rsid w:val="00ED4E0E"/>
    <w:rsid w:val="00EE38F1"/>
    <w:rsid w:val="00EE3EEB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6AAD"/>
    <w:rsid w:val="00F47AA3"/>
    <w:rsid w:val="00F57905"/>
    <w:rsid w:val="00F630F9"/>
    <w:rsid w:val="00F65F2D"/>
    <w:rsid w:val="00F74ABE"/>
    <w:rsid w:val="00F751B7"/>
    <w:rsid w:val="00F757CC"/>
    <w:rsid w:val="00F77026"/>
    <w:rsid w:val="00F96754"/>
    <w:rsid w:val="00FB3EAD"/>
    <w:rsid w:val="00FB5471"/>
    <w:rsid w:val="00FB59D4"/>
    <w:rsid w:val="00FD3AF2"/>
    <w:rsid w:val="00FD791B"/>
    <w:rsid w:val="00FD7F0C"/>
    <w:rsid w:val="00FE2DF2"/>
    <w:rsid w:val="00FE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19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cter"/>
    <w:rsid w:val="00DE675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cter"/>
    <w:rsid w:val="00DE67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cter"/>
    <w:rsid w:val="00DE675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cter"/>
    <w:rsid w:val="00DE67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tainox.p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DE21-2D7B-4CC2-AC06-C555B27B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1686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Documentos</vt:lpstr>
    </vt:vector>
  </TitlesOfParts>
  <Company/>
  <LinksUpToDate>false</LinksUpToDate>
  <CharactersWithSpaces>1982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Termoacumuladores Elétricos</dc:title>
  <dc:subject>Ficha Técnica - Termoacumuladores Elétricos</dc:subject>
  <dc:creator>Foster Consulting</dc:creator>
  <cp:lastModifiedBy>Qualidade</cp:lastModifiedBy>
  <cp:revision>8</cp:revision>
  <cp:lastPrinted>2014-06-05T15:27:00Z</cp:lastPrinted>
  <dcterms:created xsi:type="dcterms:W3CDTF">2014-05-01T08:46:00Z</dcterms:created>
  <dcterms:modified xsi:type="dcterms:W3CDTF">2014-06-19T09:17:00Z</dcterms:modified>
  <cp:category>Processo Produção e Desenvolvimento</cp:category>
</cp:coreProperties>
</file>