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16"/>
        <w:gridCol w:w="5778"/>
      </w:tblGrid>
      <w:tr w:rsidR="00607BC8" w:rsidRPr="00607BC8" w:rsidTr="00607BC8">
        <w:trPr>
          <w:jc w:val="center"/>
        </w:trPr>
        <w:tc>
          <w:tcPr>
            <w:tcW w:w="9669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Toc324691580"/>
            <w:bookmarkStart w:id="1" w:name="_Toc324961550"/>
            <w:bookmarkStart w:id="2" w:name="_GoBack"/>
            <w:bookmarkEnd w:id="2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BE0242">
        <w:trPr>
          <w:jc w:val="center"/>
        </w:trPr>
        <w:tc>
          <w:tcPr>
            <w:tcW w:w="3844" w:type="dxa"/>
            <w:tcBorders>
              <w:bottom w:val="nil"/>
              <w:right w:val="nil"/>
            </w:tcBorders>
            <w:vAlign w:val="center"/>
          </w:tcPr>
          <w:p w:rsidR="0048709A" w:rsidRPr="0059546C" w:rsidRDefault="000F1A05" w:rsidP="00A77EB4">
            <w:pPr>
              <w:spacing w:before="40" w:after="40"/>
              <w:ind w:right="-108"/>
              <w:rPr>
                <w:rFonts w:ascii="Century Gothic" w:hAnsi="Century Gothic" w:cs="Aharoni"/>
                <w:b/>
                <w:smallCaps/>
                <w:sz w:val="18"/>
                <w:szCs w:val="20"/>
              </w:rPr>
            </w:pPr>
            <w:r w:rsidRPr="000F1A05">
              <w:rPr>
                <w:noProof/>
              </w:rPr>
              <w:drawing>
                <wp:inline distT="0" distB="0" distL="0" distR="0">
                  <wp:extent cx="2667000" cy="2000250"/>
                  <wp:effectExtent l="0" t="0" r="0" b="0"/>
                  <wp:docPr id="2" name="Imagem 2" descr="Z:\QUALIDADE\Panfleto\Depósito Novo Modelo\image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QUALIDADE\Panfleto\Depósito Novo Modelo\image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44" cy="200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5" w:type="dxa"/>
            <w:tcBorders>
              <w:left w:val="nil"/>
              <w:bottom w:val="nil"/>
            </w:tcBorders>
            <w:vAlign w:val="center"/>
          </w:tcPr>
          <w:p w:rsidR="0048709A" w:rsidRPr="0048709A" w:rsidRDefault="00B4156B" w:rsidP="00A77EB4">
            <w:pPr>
              <w:spacing w:before="40" w:after="40" w:line="276" w:lineRule="auto"/>
              <w:ind w:left="884"/>
              <w:rPr>
                <w:rFonts w:ascii="Century Gothic" w:hAnsi="Century Gothic" w:cs="Aharoni"/>
                <w:b/>
                <w:smallCaps/>
                <w:szCs w:val="20"/>
              </w:rPr>
            </w:pPr>
            <w:r>
              <w:object w:dxaOrig="8580" w:dyaOrig="12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255.75pt" o:ole="">
                  <v:imagedata r:id="rId9" o:title=""/>
                </v:shape>
                <o:OLEObject Type="Embed" ProgID="AutoCAD.Drawing.20" ShapeID="_x0000_i1025" DrawAspect="Content" ObjectID="_1582362856" r:id="rId10"/>
              </w:object>
            </w:r>
          </w:p>
        </w:tc>
      </w:tr>
      <w:tr w:rsidR="009B1E7B" w:rsidRPr="0048709A" w:rsidTr="00BE0242">
        <w:trPr>
          <w:jc w:val="center"/>
        </w:trPr>
        <w:tc>
          <w:tcPr>
            <w:tcW w:w="3844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8E24D2" w:rsidRDefault="00E37627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C</w:t>
            </w:r>
            <w:r w:rsidR="00322754">
              <w:rPr>
                <w:rFonts w:ascii="Century Gothic" w:hAnsi="Century Gothic" w:cs="Aharoni"/>
                <w:b/>
                <w:sz w:val="18"/>
                <w:szCs w:val="20"/>
              </w:rPr>
              <w:t xml:space="preserve">onstruídos em aço 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inoxidável 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>1.4301/1.4307 (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>AISI 304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 xml:space="preserve">/AISI304L) 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ou 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>1.4401/1.4404 (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AISI 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>316/AISI316L)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8E24D2" w:rsidRPr="00CE1166" w:rsidRDefault="008E24D2" w:rsidP="008E24D2">
            <w:pPr>
              <w:pStyle w:val="PargrafodaLista"/>
              <w:spacing w:before="40" w:after="40"/>
              <w:ind w:left="476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8E24D2" w:rsidRPr="00CE1166" w:rsidRDefault="008E24D2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Podem ser instalados em sistemas de água fria ou quente, com apoio de uma ou duas bombas.</w:t>
            </w:r>
          </w:p>
          <w:p w:rsidR="008E24D2" w:rsidRPr="00CE1166" w:rsidRDefault="008E24D2" w:rsidP="008E24D2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8E24D2" w:rsidRDefault="008E24D2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Para estabilizar e compensar a pressão da rede de água</w:t>
            </w:r>
          </w:p>
          <w:p w:rsidR="008E24D2" w:rsidRPr="0059546C" w:rsidRDefault="008E24D2" w:rsidP="008E24D2">
            <w:pPr>
              <w:pStyle w:val="PargrafodaLista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9B1E7B" w:rsidRPr="0059546C" w:rsidRDefault="008E24D2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59546C">
              <w:rPr>
                <w:rFonts w:ascii="Century Gothic" w:hAnsi="Century Gothic" w:cs="Aharoni"/>
                <w:b/>
                <w:sz w:val="18"/>
                <w:szCs w:val="20"/>
              </w:rPr>
              <w:t>Instalação vertical.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  <w:t>Legenda: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B – Entrada/Saída 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Ø D – Diâmetro 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F – </w:t>
            </w:r>
            <w:r w:rsidR="00B4156B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Válvula de pré-carga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 – Altura Total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HV – Altura da Virola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HF – Altura do Fundo</w:t>
            </w:r>
          </w:p>
          <w:p w:rsidR="009B1E7B" w:rsidRPr="00BE0242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HP – Altura do Fundo para a Base da Perna </w:t>
            </w:r>
          </w:p>
        </w:tc>
      </w:tr>
      <w:tr w:rsidR="009B1E7B" w:rsidRPr="0048709A" w:rsidTr="001F3837">
        <w:trPr>
          <w:trHeight w:val="691"/>
          <w:jc w:val="center"/>
        </w:trPr>
        <w:tc>
          <w:tcPr>
            <w:tcW w:w="9669" w:type="dxa"/>
            <w:gridSpan w:val="2"/>
            <w:tcBorders>
              <w:left w:val="nil"/>
              <w:right w:val="nil"/>
            </w:tcBorders>
          </w:tcPr>
          <w:p w:rsidR="009B1E7B" w:rsidRPr="009B1E7B" w:rsidRDefault="009B1E7B" w:rsidP="00062F7B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Esquematização dos </w:t>
            </w:r>
            <w:r w:rsidR="00BE0242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hidropneumáticos </w:t>
            </w:r>
            <w:r w:rsidR="002B4446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com</w:t>
            </w:r>
            <w:r w:rsidR="00BE0242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membran</w:t>
            </w:r>
            <w:r w:rsidR="00062F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a</w:t>
            </w:r>
            <w:r w:rsidR="002B4446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superior</w:t>
            </w:r>
          </w:p>
        </w:tc>
      </w:tr>
      <w:tr w:rsidR="0059546C" w:rsidRPr="00CE1166" w:rsidTr="00A67437">
        <w:trPr>
          <w:trHeight w:val="1417"/>
          <w:jc w:val="center"/>
        </w:trPr>
        <w:tc>
          <w:tcPr>
            <w:tcW w:w="9669" w:type="dxa"/>
            <w:gridSpan w:val="2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59546C" w:rsidRDefault="0059546C" w:rsidP="00433503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Os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hidropneumáticos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cumprem os requisitos da legislação em vigor e estão em conformidade com a Diretiva Europeia aplicáve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l</w:t>
            </w:r>
            <w:r w:rsidR="00C8498B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– 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Diretiva Equipamentos Sob Pressão </w:t>
            </w:r>
            <w:r w:rsidR="001F3837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2014/68/UE</w:t>
            </w:r>
          </w:p>
          <w:p w:rsidR="001F3837" w:rsidRDefault="001F3837" w:rsidP="001F3837">
            <w:pP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E712DE">
              <w:rPr>
                <w:rFonts w:ascii="Myriad Pro" w:hAnsi="Myriad Pro" w:cs="Arial"/>
                <w:noProof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27940</wp:posOffset>
                  </wp:positionV>
                  <wp:extent cx="463550" cy="37084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3837" w:rsidRDefault="001F3837" w:rsidP="00433503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</w:p>
          <w:p w:rsidR="001F3837" w:rsidRDefault="001F3837" w:rsidP="00433503">
            <w:pPr>
              <w:jc w:val="both"/>
              <w:rPr>
                <w:rFonts w:ascii="Century Gothic" w:hAnsi="Century Gothic" w:cs="Arial"/>
                <w:b/>
                <w:noProof/>
                <w:szCs w:val="18"/>
              </w:rPr>
            </w:pPr>
            <w:r w:rsidRPr="001F3837">
              <w:rPr>
                <w:rFonts w:ascii="Century Gothic" w:hAnsi="Century Gothic" w:cs="Arial"/>
                <w:b/>
                <w:noProof/>
                <w:szCs w:val="18"/>
              </w:rPr>
              <w:t>1155</w:t>
            </w:r>
          </w:p>
          <w:p w:rsidR="00322754" w:rsidRPr="001F3837" w:rsidRDefault="00322754" w:rsidP="00433503">
            <w:pPr>
              <w:jc w:val="both"/>
              <w:rPr>
                <w:rFonts w:ascii="Century Gothic" w:hAnsi="Century Gothic" w:cs="Arial"/>
                <w:b/>
                <w:noProof/>
                <w:szCs w:val="18"/>
              </w:rPr>
            </w:pPr>
          </w:p>
          <w:p w:rsidR="0059546C" w:rsidRPr="00607BC8" w:rsidRDefault="0059546C" w:rsidP="00433503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59546C" w:rsidRPr="00607BC8" w:rsidTr="00433503">
        <w:trPr>
          <w:trHeight w:val="850"/>
          <w:jc w:val="center"/>
        </w:trPr>
        <w:tc>
          <w:tcPr>
            <w:tcW w:w="9669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59546C" w:rsidRPr="00607BC8" w:rsidRDefault="0059546C" w:rsidP="00433503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2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  <w:tr w:rsidR="0059546C" w:rsidRPr="0048709A" w:rsidTr="009B1E7B">
        <w:trPr>
          <w:jc w:val="center"/>
        </w:trPr>
        <w:tc>
          <w:tcPr>
            <w:tcW w:w="9669" w:type="dxa"/>
            <w:gridSpan w:val="2"/>
            <w:tcBorders>
              <w:left w:val="nil"/>
              <w:bottom w:val="nil"/>
              <w:right w:val="nil"/>
            </w:tcBorders>
          </w:tcPr>
          <w:p w:rsidR="0059546C" w:rsidRPr="009B1E7B" w:rsidRDefault="0059546C" w:rsidP="00BE0242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</w:tc>
      </w:tr>
      <w:bookmarkEnd w:id="0"/>
      <w:bookmarkEnd w:id="1"/>
    </w:tbl>
    <w:p w:rsidR="0048709A" w:rsidRDefault="0048709A" w:rsidP="0048709A">
      <w:pPr>
        <w:jc w:val="both"/>
        <w:rPr>
          <w:rFonts w:ascii="Myriad Pro" w:hAnsi="Myriad Pro" w:cs="Arial"/>
          <w:szCs w:val="20"/>
        </w:rPr>
      </w:pPr>
    </w:p>
    <w:p w:rsidR="005B6F0C" w:rsidRDefault="005B6F0C" w:rsidP="0048709A">
      <w:pPr>
        <w:jc w:val="both"/>
        <w:rPr>
          <w:rFonts w:ascii="Myriad Pro" w:hAnsi="Myriad Pro" w:cs="Arial"/>
          <w:szCs w:val="20"/>
        </w:rPr>
      </w:pPr>
    </w:p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35"/>
        <w:gridCol w:w="1558"/>
        <w:gridCol w:w="1559"/>
        <w:gridCol w:w="1545"/>
        <w:gridCol w:w="13"/>
        <w:gridCol w:w="1559"/>
      </w:tblGrid>
      <w:tr w:rsidR="008C1371" w:rsidRPr="008C1371" w:rsidTr="008C1371">
        <w:trPr>
          <w:jc w:val="center"/>
        </w:trPr>
        <w:tc>
          <w:tcPr>
            <w:tcW w:w="9669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Características Gerais</w:t>
            </w:r>
          </w:p>
        </w:tc>
      </w:tr>
      <w:tr w:rsidR="00CE1166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Pr="00CE1166" w:rsidRDefault="00BE024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Volume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="00CE1166"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300</w:t>
            </w:r>
          </w:p>
        </w:tc>
      </w:tr>
      <w:tr w:rsidR="00CE1166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Pr="00CE1166" w:rsidRDefault="00BE024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D 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>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400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470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Pr="00CE1166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50</w:t>
            </w:r>
            <w:r w:rsidR="00BE0242">
              <w:rPr>
                <w:rFonts w:ascii="Century Gothic" w:hAnsi="Century Gothic" w:cs="Aharoni"/>
                <w:b/>
                <w:sz w:val="18"/>
                <w:szCs w:val="18"/>
              </w:rPr>
              <w:t>0</w:t>
            </w:r>
          </w:p>
        </w:tc>
      </w:tr>
      <w:tr w:rsidR="00CE1166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BE024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 xml:space="preserve">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840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1130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1380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Default="00B41262" w:rsidP="00B41262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1814</w:t>
            </w:r>
          </w:p>
        </w:tc>
      </w:tr>
      <w:tr w:rsidR="00B41262" w:rsidRPr="00CE1166" w:rsidTr="00432E3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1262" w:rsidRDefault="00B4126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HF (mm)</w:t>
            </w:r>
          </w:p>
        </w:tc>
        <w:tc>
          <w:tcPr>
            <w:tcW w:w="4675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:rsidR="00B4126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4126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142</w:t>
            </w:r>
          </w:p>
        </w:tc>
      </w:tr>
      <w:tr w:rsidR="00BE0242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E0242" w:rsidRDefault="00D112D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HV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480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750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24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1350</w:t>
            </w:r>
          </w:p>
        </w:tc>
      </w:tr>
      <w:tr w:rsidR="00BE0242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E0242" w:rsidRDefault="00D112D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HP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24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</w:t>
            </w:r>
            <w:r w:rsidR="00D112D2">
              <w:rPr>
                <w:rFonts w:ascii="Century Gothic" w:hAnsi="Century Gothic" w:cs="Aharoni"/>
                <w:b/>
                <w:sz w:val="18"/>
                <w:szCs w:val="18"/>
              </w:rPr>
              <w:t>0</w:t>
            </w:r>
          </w:p>
        </w:tc>
      </w:tr>
      <w:tr w:rsidR="00BE0242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E0242" w:rsidRDefault="00D112D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Modelo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</w:t>
            </w:r>
            <w:r w:rsidR="00B4156B">
              <w:rPr>
                <w:rFonts w:ascii="Century Gothic" w:hAnsi="Century Gothic" w:cs="Aharoni"/>
                <w:b/>
                <w:sz w:val="18"/>
                <w:szCs w:val="18"/>
              </w:rPr>
              <w:t>05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.0060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</w:t>
            </w:r>
            <w:r w:rsidR="00B4156B"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.0100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</w:t>
            </w:r>
            <w:r w:rsidR="00B4156B"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.0200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</w:t>
            </w:r>
            <w:r w:rsidR="00B4156B"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.0300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Fluído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AD5661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Água + Ar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Grupo Fluido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</w:p>
        </w:tc>
      </w:tr>
      <w:tr w:rsidR="00E37627" w:rsidRPr="00CE1166" w:rsidTr="004A089E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Classe de Risco</w:t>
            </w:r>
          </w:p>
        </w:tc>
        <w:tc>
          <w:tcPr>
            <w:tcW w:w="4662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II</w:t>
            </w:r>
          </w:p>
        </w:tc>
        <w:tc>
          <w:tcPr>
            <w:tcW w:w="1572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III</w:t>
            </w:r>
          </w:p>
        </w:tc>
      </w:tr>
      <w:tr w:rsidR="00B577FB" w:rsidRPr="00CE1166" w:rsidTr="00B577FB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577FB" w:rsidRDefault="00B577FB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B (Entrada/Saída)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577FB" w:rsidRDefault="00B577FB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3104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577FB" w:rsidRDefault="00B577FB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 ¼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572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577FB" w:rsidRDefault="00B577FB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 ½” M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F (Válvula</w:t>
            </w:r>
            <w:r w:rsidR="00B577FB">
              <w:rPr>
                <w:rFonts w:ascii="Century Gothic" w:hAnsi="Century Gothic" w:cs="Aharoni"/>
                <w:b/>
                <w:sz w:val="18"/>
                <w:szCs w:val="18"/>
              </w:rPr>
              <w:t xml:space="preserve"> pré-carga)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B577FB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M8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(bar)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de Ensaio (bar)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7,5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C92478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Mínima / Máxima Admissível (ºC)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4A089E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 / 65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Pré-carga inicial (bar)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B577FB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0 / 0,1</w:t>
            </w:r>
          </w:p>
        </w:tc>
      </w:tr>
      <w:tr w:rsidR="00E37627" w:rsidRPr="00CE1166" w:rsidTr="004E6CAA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Tara (kg)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AA0F5B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B577FB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15</w:t>
            </w:r>
          </w:p>
        </w:tc>
        <w:tc>
          <w:tcPr>
            <w:tcW w:w="1558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  <w:r w:rsidR="00B577FB"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</w:t>
            </w:r>
            <w:r w:rsidR="00B577FB">
              <w:rPr>
                <w:rFonts w:ascii="Century Gothic" w:hAnsi="Century Gothic" w:cs="Aharoni"/>
                <w:b/>
                <w:sz w:val="18"/>
                <w:szCs w:val="18"/>
              </w:rPr>
              <w:t>8</w:t>
            </w:r>
          </w:p>
        </w:tc>
      </w:tr>
      <w:tr w:rsidR="00E37627" w:rsidRPr="0048709A" w:rsidTr="00607BC8">
        <w:trPr>
          <w:trHeight w:val="850"/>
          <w:jc w:val="center"/>
        </w:trPr>
        <w:tc>
          <w:tcPr>
            <w:tcW w:w="9669" w:type="dxa"/>
            <w:gridSpan w:val="6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Características técnicas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</w:t>
            </w: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hidropneumáticos </w:t>
            </w:r>
            <w:r w:rsidR="002B4446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com </w:t>
            </w: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membrana</w:t>
            </w:r>
            <w:r w:rsidR="002B4446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superior</w:t>
            </w: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B577FB" w:rsidRDefault="00B577FB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B577FB" w:rsidRDefault="00B577FB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B577FB" w:rsidRDefault="00B577FB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B577FB" w:rsidRDefault="00B577FB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B577FB" w:rsidRDefault="00B577FB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1F3837">
            <w:pPr>
              <w:spacing w:before="40" w:after="40" w:line="276" w:lineRule="auto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2B4446" w:rsidRDefault="002B4446" w:rsidP="001F3837">
            <w:pPr>
              <w:spacing w:before="40" w:after="40" w:line="276" w:lineRule="auto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2B4446" w:rsidRDefault="002B4446" w:rsidP="001F3837">
            <w:pPr>
              <w:spacing w:before="40" w:after="40" w:line="276" w:lineRule="auto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2B4446" w:rsidRDefault="002B4446" w:rsidP="001F3837">
            <w:pPr>
              <w:spacing w:before="40" w:after="40" w:line="276" w:lineRule="auto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2B4446" w:rsidRPr="009B1E7B" w:rsidRDefault="002B4446" w:rsidP="001F3837">
            <w:pPr>
              <w:spacing w:before="40" w:after="40" w:line="276" w:lineRule="auto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</w:tc>
      </w:tr>
    </w:tbl>
    <w:p w:rsidR="0048709A" w:rsidRPr="00A67437" w:rsidRDefault="0048709A" w:rsidP="00A67437">
      <w:pPr>
        <w:spacing w:before="120"/>
        <w:rPr>
          <w:rFonts w:ascii="Myriad Pro" w:hAnsi="Myriad Pro" w:cs="Arial"/>
          <w:color w:val="595959" w:themeColor="text1" w:themeTint="A6"/>
          <w:sz w:val="2"/>
          <w:szCs w:val="2"/>
        </w:rPr>
      </w:pPr>
    </w:p>
    <w:sectPr w:rsidR="0048709A" w:rsidRPr="00A67437" w:rsidSect="0048709A">
      <w:headerReference w:type="default" r:id="rId13"/>
      <w:footerReference w:type="default" r:id="rId14"/>
      <w:pgSz w:w="11906" w:h="16838"/>
      <w:pgMar w:top="2552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EE" w:rsidRDefault="005B62EE" w:rsidP="00DE6752">
      <w:r>
        <w:separator/>
      </w:r>
    </w:p>
  </w:endnote>
  <w:endnote w:type="continuationSeparator" w:id="0">
    <w:p w:rsidR="005B62EE" w:rsidRDefault="005B62EE" w:rsidP="00D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349" w:type="dxa"/>
      <w:jc w:val="center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0"/>
      <w:gridCol w:w="1701"/>
      <w:gridCol w:w="2693"/>
      <w:gridCol w:w="2694"/>
      <w:gridCol w:w="1771"/>
    </w:tblGrid>
    <w:tr w:rsidR="00331717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331717" w:rsidRPr="00331717" w:rsidRDefault="00E169CF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</w:t>
          </w:r>
          <w:r w:rsidR="008D1FC3">
            <w:rPr>
              <w:rFonts w:ascii="Century Gothic" w:hAnsi="Century Gothic"/>
              <w:color w:val="404040"/>
              <w:sz w:val="16"/>
              <w:szCs w:val="16"/>
            </w:rPr>
            <w:t xml:space="preserve"> 12</w:t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>.</w:t>
          </w:r>
          <w:r w:rsidR="002B4446">
            <w:rPr>
              <w:rFonts w:ascii="Century Gothic" w:hAnsi="Century Gothic"/>
              <w:color w:val="404040"/>
              <w:sz w:val="16"/>
              <w:szCs w:val="16"/>
            </w:rPr>
            <w:t>36</w:t>
          </w:r>
          <w:r w:rsidR="00C8498B">
            <w:rPr>
              <w:rFonts w:ascii="Century Gothic" w:hAnsi="Century Gothic"/>
              <w:color w:val="404040"/>
              <w:sz w:val="16"/>
              <w:szCs w:val="16"/>
            </w:rPr>
            <w:t>v0</w:t>
          </w:r>
          <w:r w:rsidR="002B4446">
            <w:rPr>
              <w:rFonts w:ascii="Century Gothic" w:hAnsi="Century Gothic"/>
              <w:color w:val="404040"/>
              <w:sz w:val="16"/>
              <w:szCs w:val="16"/>
            </w:rPr>
            <w:t>0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331717" w:rsidRPr="00331717" w:rsidRDefault="00B85AA8" w:rsidP="00EB12E2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2E23EE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2E23EE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331717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384A53" w:rsidRPr="00331717" w:rsidRDefault="00384A53" w:rsidP="00B47044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EE" w:rsidRDefault="005B62EE" w:rsidP="00DE6752">
      <w:r>
        <w:separator/>
      </w:r>
    </w:p>
  </w:footnote>
  <w:footnote w:type="continuationSeparator" w:id="0">
    <w:p w:rsidR="005B62EE" w:rsidRDefault="005B62EE" w:rsidP="00DE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50"/>
      <w:gridCol w:w="6783"/>
    </w:tblGrid>
    <w:tr w:rsidR="0048709A" w:rsidRPr="00DE4E08" w:rsidTr="0048709A">
      <w:trPr>
        <w:trHeight w:val="1410"/>
        <w:jc w:val="center"/>
      </w:trPr>
      <w:tc>
        <w:tcPr>
          <w:tcW w:w="2995" w:type="dxa"/>
          <w:shd w:val="clear" w:color="auto" w:fill="auto"/>
          <w:vAlign w:val="center"/>
        </w:tcPr>
        <w:p w:rsidR="0048709A" w:rsidRPr="00703157" w:rsidRDefault="0048709A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shd w:val="clear" w:color="auto" w:fill="auto"/>
          <w:vAlign w:val="center"/>
        </w:tcPr>
        <w:p w:rsidR="0048709A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48709A" w:rsidRPr="00703157" w:rsidRDefault="00BE0242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Hidropneumáticos </w:t>
          </w:r>
          <w:r w:rsidR="00DD4562">
            <w:rPr>
              <w:rFonts w:ascii="Century Gothic" w:hAnsi="Century Gothic" w:cs="Arial"/>
              <w:b/>
              <w:color w:val="404040"/>
              <w:sz w:val="32"/>
              <w:szCs w:val="12"/>
            </w:rPr>
            <w:t>com</w:t>
          </w: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 Membrana</w:t>
          </w:r>
          <w:r w:rsidR="00DD4562"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 Superior</w:t>
          </w:r>
        </w:p>
      </w:tc>
    </w:tr>
  </w:tbl>
  <w:p w:rsidR="00DE6752" w:rsidRDefault="00DE6752" w:rsidP="00B47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Mdj7TW8AtyHXYa43ImWwtKgAouW8r+G3w8J6k6iFlvE0xcHOXh20GGO9+fQPKdp32qcrmociiWPS8kIJI0n5g==" w:salt="N9doLhqyAtcBbD7O2+5p6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B7"/>
    <w:rsid w:val="0002114D"/>
    <w:rsid w:val="00023858"/>
    <w:rsid w:val="000306D7"/>
    <w:rsid w:val="00034A6B"/>
    <w:rsid w:val="00036499"/>
    <w:rsid w:val="000447AB"/>
    <w:rsid w:val="0005494B"/>
    <w:rsid w:val="0005514C"/>
    <w:rsid w:val="00062F7B"/>
    <w:rsid w:val="00070452"/>
    <w:rsid w:val="000707B5"/>
    <w:rsid w:val="00077CCB"/>
    <w:rsid w:val="000877CC"/>
    <w:rsid w:val="000944B3"/>
    <w:rsid w:val="000B1EB3"/>
    <w:rsid w:val="000C239D"/>
    <w:rsid w:val="000D59F7"/>
    <w:rsid w:val="000E3349"/>
    <w:rsid w:val="000E576D"/>
    <w:rsid w:val="000F1A05"/>
    <w:rsid w:val="000F2F04"/>
    <w:rsid w:val="000F5995"/>
    <w:rsid w:val="00100C7F"/>
    <w:rsid w:val="001018BF"/>
    <w:rsid w:val="0010259D"/>
    <w:rsid w:val="00103DAB"/>
    <w:rsid w:val="0010668C"/>
    <w:rsid w:val="00116DC5"/>
    <w:rsid w:val="001174FE"/>
    <w:rsid w:val="0012450E"/>
    <w:rsid w:val="00135864"/>
    <w:rsid w:val="00137716"/>
    <w:rsid w:val="00140C2D"/>
    <w:rsid w:val="00142121"/>
    <w:rsid w:val="00152E7E"/>
    <w:rsid w:val="00153A55"/>
    <w:rsid w:val="00155C4C"/>
    <w:rsid w:val="00156745"/>
    <w:rsid w:val="001616B5"/>
    <w:rsid w:val="0018180D"/>
    <w:rsid w:val="00191CFD"/>
    <w:rsid w:val="001932B9"/>
    <w:rsid w:val="001B6395"/>
    <w:rsid w:val="001C0DC8"/>
    <w:rsid w:val="001C5847"/>
    <w:rsid w:val="001D0849"/>
    <w:rsid w:val="001D4262"/>
    <w:rsid w:val="001D72B9"/>
    <w:rsid w:val="001E529B"/>
    <w:rsid w:val="001F1112"/>
    <w:rsid w:val="001F3837"/>
    <w:rsid w:val="00200D43"/>
    <w:rsid w:val="00204FB9"/>
    <w:rsid w:val="00222846"/>
    <w:rsid w:val="0022549D"/>
    <w:rsid w:val="00225572"/>
    <w:rsid w:val="00226CC3"/>
    <w:rsid w:val="00241F7A"/>
    <w:rsid w:val="00244FC5"/>
    <w:rsid w:val="0024533E"/>
    <w:rsid w:val="00252064"/>
    <w:rsid w:val="002600E0"/>
    <w:rsid w:val="00283490"/>
    <w:rsid w:val="002A0DBA"/>
    <w:rsid w:val="002A12A0"/>
    <w:rsid w:val="002A44E4"/>
    <w:rsid w:val="002B4446"/>
    <w:rsid w:val="002C2BBB"/>
    <w:rsid w:val="002C4096"/>
    <w:rsid w:val="002C66C9"/>
    <w:rsid w:val="002E02D6"/>
    <w:rsid w:val="002E23EE"/>
    <w:rsid w:val="002F1764"/>
    <w:rsid w:val="00314A00"/>
    <w:rsid w:val="003152C5"/>
    <w:rsid w:val="00320751"/>
    <w:rsid w:val="00322754"/>
    <w:rsid w:val="00331717"/>
    <w:rsid w:val="00333B8B"/>
    <w:rsid w:val="003443D1"/>
    <w:rsid w:val="0034624C"/>
    <w:rsid w:val="00351E7A"/>
    <w:rsid w:val="0036670F"/>
    <w:rsid w:val="00372434"/>
    <w:rsid w:val="00380F35"/>
    <w:rsid w:val="00384A53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E6187"/>
    <w:rsid w:val="003F5C4A"/>
    <w:rsid w:val="003F69FD"/>
    <w:rsid w:val="003F75BD"/>
    <w:rsid w:val="004003AD"/>
    <w:rsid w:val="00400FEC"/>
    <w:rsid w:val="00423FA4"/>
    <w:rsid w:val="0042420D"/>
    <w:rsid w:val="004307BE"/>
    <w:rsid w:val="0043129A"/>
    <w:rsid w:val="004445B1"/>
    <w:rsid w:val="00450425"/>
    <w:rsid w:val="004551FA"/>
    <w:rsid w:val="00456BB3"/>
    <w:rsid w:val="004756EE"/>
    <w:rsid w:val="0048448A"/>
    <w:rsid w:val="00485B08"/>
    <w:rsid w:val="00485F0F"/>
    <w:rsid w:val="0048709A"/>
    <w:rsid w:val="00487FBF"/>
    <w:rsid w:val="004914C9"/>
    <w:rsid w:val="00494182"/>
    <w:rsid w:val="004952CA"/>
    <w:rsid w:val="004A0038"/>
    <w:rsid w:val="004A089E"/>
    <w:rsid w:val="004C17B1"/>
    <w:rsid w:val="004D4EFB"/>
    <w:rsid w:val="004E076C"/>
    <w:rsid w:val="004E2C73"/>
    <w:rsid w:val="004F54D5"/>
    <w:rsid w:val="00523A28"/>
    <w:rsid w:val="00526F0A"/>
    <w:rsid w:val="0054119E"/>
    <w:rsid w:val="0055462E"/>
    <w:rsid w:val="005823CC"/>
    <w:rsid w:val="00590F16"/>
    <w:rsid w:val="00592649"/>
    <w:rsid w:val="00594593"/>
    <w:rsid w:val="00595134"/>
    <w:rsid w:val="0059546C"/>
    <w:rsid w:val="00595A58"/>
    <w:rsid w:val="005B38DA"/>
    <w:rsid w:val="005B391E"/>
    <w:rsid w:val="005B4CA4"/>
    <w:rsid w:val="005B62EE"/>
    <w:rsid w:val="005B67BB"/>
    <w:rsid w:val="005B6F0C"/>
    <w:rsid w:val="005B7927"/>
    <w:rsid w:val="005C55BA"/>
    <w:rsid w:val="005C7C92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E3B"/>
    <w:rsid w:val="00622FD0"/>
    <w:rsid w:val="00627F8B"/>
    <w:rsid w:val="006308A5"/>
    <w:rsid w:val="00640B21"/>
    <w:rsid w:val="006423F0"/>
    <w:rsid w:val="00645DEB"/>
    <w:rsid w:val="00661791"/>
    <w:rsid w:val="00670DF4"/>
    <w:rsid w:val="006759C4"/>
    <w:rsid w:val="0067737C"/>
    <w:rsid w:val="006847F5"/>
    <w:rsid w:val="00696BC2"/>
    <w:rsid w:val="006B53D0"/>
    <w:rsid w:val="006C3D62"/>
    <w:rsid w:val="006C5EB3"/>
    <w:rsid w:val="006E37BE"/>
    <w:rsid w:val="006E4BD7"/>
    <w:rsid w:val="006F2001"/>
    <w:rsid w:val="00703157"/>
    <w:rsid w:val="00704B40"/>
    <w:rsid w:val="00715F06"/>
    <w:rsid w:val="00720F62"/>
    <w:rsid w:val="007340EC"/>
    <w:rsid w:val="00747993"/>
    <w:rsid w:val="00755F0C"/>
    <w:rsid w:val="00772B90"/>
    <w:rsid w:val="007730CB"/>
    <w:rsid w:val="00774BD2"/>
    <w:rsid w:val="0077762C"/>
    <w:rsid w:val="00777943"/>
    <w:rsid w:val="007A15B9"/>
    <w:rsid w:val="007A173F"/>
    <w:rsid w:val="007A3E80"/>
    <w:rsid w:val="007A55FC"/>
    <w:rsid w:val="007A7E0B"/>
    <w:rsid w:val="007B4B7B"/>
    <w:rsid w:val="007D105E"/>
    <w:rsid w:val="007E60A8"/>
    <w:rsid w:val="007F586F"/>
    <w:rsid w:val="00807F72"/>
    <w:rsid w:val="0081622D"/>
    <w:rsid w:val="0082375E"/>
    <w:rsid w:val="008275C2"/>
    <w:rsid w:val="00833D80"/>
    <w:rsid w:val="008351E7"/>
    <w:rsid w:val="00835BEF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86234"/>
    <w:rsid w:val="008917E6"/>
    <w:rsid w:val="008A03A7"/>
    <w:rsid w:val="008A2830"/>
    <w:rsid w:val="008A4427"/>
    <w:rsid w:val="008A5927"/>
    <w:rsid w:val="008A6512"/>
    <w:rsid w:val="008C1371"/>
    <w:rsid w:val="008C3557"/>
    <w:rsid w:val="008D1FC3"/>
    <w:rsid w:val="008D69D6"/>
    <w:rsid w:val="008E24D2"/>
    <w:rsid w:val="008E6250"/>
    <w:rsid w:val="00903262"/>
    <w:rsid w:val="00911D93"/>
    <w:rsid w:val="0091742A"/>
    <w:rsid w:val="0092623E"/>
    <w:rsid w:val="00933345"/>
    <w:rsid w:val="00935C89"/>
    <w:rsid w:val="00940B84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626A"/>
    <w:rsid w:val="00986F04"/>
    <w:rsid w:val="00991075"/>
    <w:rsid w:val="00993BEA"/>
    <w:rsid w:val="009948FE"/>
    <w:rsid w:val="009A1A35"/>
    <w:rsid w:val="009A5AF3"/>
    <w:rsid w:val="009B0B1C"/>
    <w:rsid w:val="009B1152"/>
    <w:rsid w:val="009B1E7B"/>
    <w:rsid w:val="009B7A3A"/>
    <w:rsid w:val="009C0D6A"/>
    <w:rsid w:val="009C1294"/>
    <w:rsid w:val="009C7D16"/>
    <w:rsid w:val="009D793B"/>
    <w:rsid w:val="009F7300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67437"/>
    <w:rsid w:val="00A701D5"/>
    <w:rsid w:val="00A73026"/>
    <w:rsid w:val="00A74E99"/>
    <w:rsid w:val="00A752E5"/>
    <w:rsid w:val="00A77EB4"/>
    <w:rsid w:val="00A8021D"/>
    <w:rsid w:val="00A84891"/>
    <w:rsid w:val="00A84C5A"/>
    <w:rsid w:val="00A954B0"/>
    <w:rsid w:val="00AA0F5B"/>
    <w:rsid w:val="00AA75BC"/>
    <w:rsid w:val="00AC44BE"/>
    <w:rsid w:val="00AC5FD0"/>
    <w:rsid w:val="00AF3642"/>
    <w:rsid w:val="00B072FF"/>
    <w:rsid w:val="00B17164"/>
    <w:rsid w:val="00B27038"/>
    <w:rsid w:val="00B34AC5"/>
    <w:rsid w:val="00B410D5"/>
    <w:rsid w:val="00B41262"/>
    <w:rsid w:val="00B4156B"/>
    <w:rsid w:val="00B41EDB"/>
    <w:rsid w:val="00B42472"/>
    <w:rsid w:val="00B46AC8"/>
    <w:rsid w:val="00B47044"/>
    <w:rsid w:val="00B5299A"/>
    <w:rsid w:val="00B577FB"/>
    <w:rsid w:val="00B60300"/>
    <w:rsid w:val="00B6345A"/>
    <w:rsid w:val="00B76140"/>
    <w:rsid w:val="00B76E2A"/>
    <w:rsid w:val="00B85AA8"/>
    <w:rsid w:val="00B87D9C"/>
    <w:rsid w:val="00B94E73"/>
    <w:rsid w:val="00BA36E7"/>
    <w:rsid w:val="00BA755D"/>
    <w:rsid w:val="00BB57BD"/>
    <w:rsid w:val="00BB633F"/>
    <w:rsid w:val="00BC64DC"/>
    <w:rsid w:val="00BD4CC7"/>
    <w:rsid w:val="00BD65C5"/>
    <w:rsid w:val="00BD7D3A"/>
    <w:rsid w:val="00BE0242"/>
    <w:rsid w:val="00BE33FC"/>
    <w:rsid w:val="00BF0D13"/>
    <w:rsid w:val="00BF0E73"/>
    <w:rsid w:val="00C004AF"/>
    <w:rsid w:val="00C14CC9"/>
    <w:rsid w:val="00C14F05"/>
    <w:rsid w:val="00C216FE"/>
    <w:rsid w:val="00C21B9E"/>
    <w:rsid w:val="00C27A54"/>
    <w:rsid w:val="00C36425"/>
    <w:rsid w:val="00C37FF5"/>
    <w:rsid w:val="00C51E93"/>
    <w:rsid w:val="00C52A3E"/>
    <w:rsid w:val="00C63A89"/>
    <w:rsid w:val="00C63EA1"/>
    <w:rsid w:val="00C65160"/>
    <w:rsid w:val="00C738A2"/>
    <w:rsid w:val="00C76A90"/>
    <w:rsid w:val="00C8498B"/>
    <w:rsid w:val="00C91FB5"/>
    <w:rsid w:val="00C92478"/>
    <w:rsid w:val="00C96B01"/>
    <w:rsid w:val="00CA6EA0"/>
    <w:rsid w:val="00CB46B7"/>
    <w:rsid w:val="00CC62B2"/>
    <w:rsid w:val="00CD435A"/>
    <w:rsid w:val="00CE1166"/>
    <w:rsid w:val="00CF34BB"/>
    <w:rsid w:val="00D00288"/>
    <w:rsid w:val="00D07E3A"/>
    <w:rsid w:val="00D100F0"/>
    <w:rsid w:val="00D112D2"/>
    <w:rsid w:val="00D24C2B"/>
    <w:rsid w:val="00D301AC"/>
    <w:rsid w:val="00D3265D"/>
    <w:rsid w:val="00D41C72"/>
    <w:rsid w:val="00D4769A"/>
    <w:rsid w:val="00D476B4"/>
    <w:rsid w:val="00D502BD"/>
    <w:rsid w:val="00D60F5D"/>
    <w:rsid w:val="00D630FF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B34"/>
    <w:rsid w:val="00DD4562"/>
    <w:rsid w:val="00DD69FD"/>
    <w:rsid w:val="00DE6752"/>
    <w:rsid w:val="00DF2493"/>
    <w:rsid w:val="00DF33D1"/>
    <w:rsid w:val="00E15406"/>
    <w:rsid w:val="00E169CF"/>
    <w:rsid w:val="00E214CF"/>
    <w:rsid w:val="00E27E87"/>
    <w:rsid w:val="00E34018"/>
    <w:rsid w:val="00E37627"/>
    <w:rsid w:val="00E4285B"/>
    <w:rsid w:val="00E47C92"/>
    <w:rsid w:val="00E51FD2"/>
    <w:rsid w:val="00E54D6B"/>
    <w:rsid w:val="00E57D7C"/>
    <w:rsid w:val="00E6254C"/>
    <w:rsid w:val="00E72C86"/>
    <w:rsid w:val="00E81AE9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A8B"/>
    <w:rsid w:val="00EC5B66"/>
    <w:rsid w:val="00EC7890"/>
    <w:rsid w:val="00ED41B5"/>
    <w:rsid w:val="00ED4E0E"/>
    <w:rsid w:val="00EE38F1"/>
    <w:rsid w:val="00EE3EEB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7AA3"/>
    <w:rsid w:val="00F57905"/>
    <w:rsid w:val="00F630F9"/>
    <w:rsid w:val="00F65F2D"/>
    <w:rsid w:val="00F74ABE"/>
    <w:rsid w:val="00F751B7"/>
    <w:rsid w:val="00F757CC"/>
    <w:rsid w:val="00F77026"/>
    <w:rsid w:val="00F96754"/>
    <w:rsid w:val="00FB3EAD"/>
    <w:rsid w:val="00FB5471"/>
    <w:rsid w:val="00FB59D4"/>
    <w:rsid w:val="00FD3AF2"/>
    <w:rsid w:val="00FD791B"/>
    <w:rsid w:val="00FE2DF2"/>
    <w:rsid w:val="00FE33D8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51C2F05-889D-4190-A00F-C00DA4A7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18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ter"/>
    <w:rsid w:val="00DE675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ter"/>
    <w:rsid w:val="00DE67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tainox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181F-8067-4BD1-BB64-F2414CE4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- Hidropneumáticos sem Membrana</vt:lpstr>
    </vt:vector>
  </TitlesOfParts>
  <Company/>
  <LinksUpToDate>false</LinksUpToDate>
  <CharactersWithSpaces>1578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Hidropneumáticos sem Membrana</dc:title>
  <dc:subject>Ficha Técnica - Hidropneumáticos sem Membrana</dc:subject>
  <dc:creator>Foster Consulting</dc:creator>
  <cp:lastModifiedBy>Carmo Oliveira</cp:lastModifiedBy>
  <cp:revision>4</cp:revision>
  <cp:lastPrinted>2018-01-08T17:13:00Z</cp:lastPrinted>
  <dcterms:created xsi:type="dcterms:W3CDTF">2018-01-08T17:10:00Z</dcterms:created>
  <dcterms:modified xsi:type="dcterms:W3CDTF">2018-03-12T12:26:00Z</dcterms:modified>
  <cp:category>Processo Produção e Desenvolvimento</cp:category>
</cp:coreProperties>
</file>